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0B7C21" w14:textId="77777777" w:rsidR="00740604" w:rsidRDefault="00ED62F7" w:rsidP="0069371A">
      <w:pPr>
        <w:spacing w:after="0" w:line="240" w:lineRule="auto"/>
        <w:jc w:val="center"/>
        <w:rPr>
          <w:rFonts w:ascii="Garamond" w:hAnsi="Garamond"/>
          <w:b/>
          <w:bCs/>
          <w:sz w:val="28"/>
          <w:szCs w:val="28"/>
        </w:rPr>
      </w:pPr>
      <w:r w:rsidRPr="0073079D">
        <w:rPr>
          <w:rFonts w:ascii="Garamond" w:hAnsi="Garamond"/>
          <w:b/>
          <w:bCs/>
          <w:sz w:val="28"/>
          <w:szCs w:val="28"/>
        </w:rPr>
        <w:t xml:space="preserve">Komodifikasi Agama dalam Ruang Publik: </w:t>
      </w:r>
    </w:p>
    <w:p w14:paraId="071671DB" w14:textId="41449709" w:rsidR="0073079D" w:rsidRDefault="00ED62F7" w:rsidP="0069371A">
      <w:pPr>
        <w:spacing w:after="0" w:line="240" w:lineRule="auto"/>
        <w:jc w:val="center"/>
        <w:rPr>
          <w:rFonts w:ascii="Garamond" w:hAnsi="Garamond"/>
          <w:b/>
          <w:bCs/>
          <w:sz w:val="28"/>
          <w:szCs w:val="28"/>
        </w:rPr>
      </w:pPr>
      <w:r w:rsidRPr="0073079D">
        <w:rPr>
          <w:rFonts w:ascii="Garamond" w:hAnsi="Garamond"/>
          <w:b/>
          <w:bCs/>
          <w:sz w:val="28"/>
          <w:szCs w:val="28"/>
        </w:rPr>
        <w:t>Studi Sosiologis terhadap Tren Gaya Hidup Halal</w:t>
      </w:r>
    </w:p>
    <w:p w14:paraId="7F6311ED" w14:textId="77777777" w:rsidR="00740604" w:rsidRDefault="00740604" w:rsidP="0069371A">
      <w:pPr>
        <w:spacing w:after="0" w:line="240" w:lineRule="auto"/>
        <w:jc w:val="center"/>
        <w:rPr>
          <w:rFonts w:ascii="Garamond" w:hAnsi="Garamond"/>
          <w:b/>
          <w:bCs/>
          <w:sz w:val="28"/>
          <w:szCs w:val="28"/>
        </w:rPr>
      </w:pPr>
    </w:p>
    <w:p w14:paraId="7BDD1860" w14:textId="42F5633B" w:rsidR="00740604" w:rsidRDefault="00740604" w:rsidP="0069371A">
      <w:pPr>
        <w:spacing w:after="0" w:line="240" w:lineRule="auto"/>
        <w:jc w:val="center"/>
        <w:rPr>
          <w:rFonts w:asciiTheme="majorBidi" w:hAnsiTheme="majorBidi" w:cstheme="majorBidi"/>
          <w:sz w:val="24"/>
          <w:szCs w:val="24"/>
        </w:rPr>
      </w:pPr>
      <w:r w:rsidRPr="00816C90">
        <w:rPr>
          <w:rFonts w:ascii="Times New Roman" w:hAnsi="Times New Roman" w:cs="Times New Roman"/>
          <w:sz w:val="24"/>
          <w:szCs w:val="24"/>
        </w:rPr>
        <w:t>Ahmad Bukhori</w:t>
      </w:r>
      <w:r>
        <w:rPr>
          <w:rFonts w:ascii="Times New Roman" w:hAnsi="Times New Roman" w:cs="Times New Roman"/>
          <w:sz w:val="24"/>
          <w:szCs w:val="24"/>
        </w:rPr>
        <w:t xml:space="preserve">, </w:t>
      </w:r>
      <w:r>
        <w:rPr>
          <w:rFonts w:asciiTheme="majorBidi" w:hAnsiTheme="majorBidi" w:cstheme="majorBidi"/>
          <w:sz w:val="24"/>
          <w:szCs w:val="24"/>
        </w:rPr>
        <w:t>Runengsih</w:t>
      </w:r>
    </w:p>
    <w:p w14:paraId="5AEC9A7C" w14:textId="16B3B340" w:rsidR="00740604" w:rsidRPr="0069371A" w:rsidRDefault="00740604" w:rsidP="0069371A">
      <w:pPr>
        <w:spacing w:after="0" w:line="240" w:lineRule="auto"/>
        <w:jc w:val="center"/>
        <w:rPr>
          <w:rFonts w:asciiTheme="majorBidi" w:hAnsiTheme="majorBidi" w:cstheme="majorBidi"/>
          <w:i/>
          <w:iCs/>
          <w:sz w:val="24"/>
          <w:szCs w:val="24"/>
        </w:rPr>
      </w:pPr>
      <w:r w:rsidRPr="0069371A">
        <w:rPr>
          <w:rFonts w:asciiTheme="majorBidi" w:hAnsiTheme="majorBidi" w:cstheme="majorBidi"/>
          <w:i/>
          <w:iCs/>
          <w:sz w:val="24"/>
          <w:szCs w:val="24"/>
        </w:rPr>
        <w:t>IAI Ma’arif Darul Fikri Indramayu, Indonesia</w:t>
      </w:r>
    </w:p>
    <w:p w14:paraId="2CB16945" w14:textId="52C2B5FA" w:rsidR="00740604" w:rsidRPr="0069371A" w:rsidRDefault="00740604" w:rsidP="0069371A">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         </w:t>
      </w:r>
      <w:proofErr w:type="gramStart"/>
      <w:r w:rsidRPr="0069371A">
        <w:rPr>
          <w:rFonts w:asciiTheme="majorBidi" w:hAnsiTheme="majorBidi" w:cstheme="majorBidi"/>
          <w:color w:val="000000" w:themeColor="text1"/>
          <w:sz w:val="24"/>
          <w:szCs w:val="24"/>
        </w:rPr>
        <w:t>bukhoriahmad</w:t>
      </w:r>
      <w:proofErr w:type="gramEnd"/>
      <w:hyperlink r:id="rId6" w:history="1">
        <w:r w:rsidRPr="0069371A">
          <w:rPr>
            <w:rStyle w:val="Hyperlink"/>
            <w:rFonts w:asciiTheme="majorBidi" w:hAnsiTheme="majorBidi" w:cstheme="majorBidi"/>
            <w:color w:val="000000" w:themeColor="text1"/>
            <w:sz w:val="24"/>
            <w:szCs w:val="24"/>
            <w:u w:val="none"/>
          </w:rPr>
          <w:t>222@gmail.com</w:t>
        </w:r>
      </w:hyperlink>
      <w:r w:rsidRPr="0069371A">
        <w:rPr>
          <w:rStyle w:val="Hyperlink"/>
          <w:rFonts w:asciiTheme="majorBidi" w:hAnsiTheme="majorBidi" w:cstheme="majorBidi"/>
          <w:color w:val="000000" w:themeColor="text1"/>
          <w:sz w:val="24"/>
          <w:szCs w:val="24"/>
          <w:u w:val="none"/>
        </w:rPr>
        <w:t xml:space="preserve">, </w:t>
      </w:r>
      <w:hyperlink r:id="rId7" w:history="1">
        <w:r w:rsidRPr="0069371A">
          <w:rPr>
            <w:rStyle w:val="Hyperlink"/>
            <w:rFonts w:asciiTheme="majorBidi" w:hAnsiTheme="majorBidi" w:cstheme="majorBidi"/>
            <w:color w:val="000000" w:themeColor="text1"/>
            <w:sz w:val="24"/>
            <w:szCs w:val="24"/>
            <w:u w:val="none"/>
          </w:rPr>
          <w:t>Runengsih411@gmail.com</w:t>
        </w:r>
      </w:hyperlink>
    </w:p>
    <w:p w14:paraId="031A8633" w14:textId="3780848C" w:rsidR="0073079D" w:rsidRDefault="0073079D" w:rsidP="0069371A">
      <w:pPr>
        <w:spacing w:line="240" w:lineRule="auto"/>
        <w:jc w:val="both"/>
        <w:rPr>
          <w:rFonts w:ascii="Garamond" w:hAnsi="Garamond"/>
          <w:b/>
          <w:bCs/>
          <w:sz w:val="28"/>
          <w:szCs w:val="28"/>
        </w:rPr>
      </w:pPr>
      <w:bookmarkStart w:id="0" w:name="_GoBack"/>
      <w:bookmarkEnd w:id="0"/>
    </w:p>
    <w:p w14:paraId="2B9B0960" w14:textId="77777777" w:rsidR="00ED62F7" w:rsidRPr="0073079D" w:rsidRDefault="00ED62F7" w:rsidP="0069371A">
      <w:pPr>
        <w:spacing w:line="240" w:lineRule="auto"/>
        <w:jc w:val="both"/>
        <w:rPr>
          <w:rFonts w:ascii="Garamond" w:hAnsi="Garamond"/>
          <w:b/>
          <w:bCs/>
          <w:sz w:val="24"/>
          <w:szCs w:val="24"/>
        </w:rPr>
      </w:pPr>
      <w:r w:rsidRPr="0073079D">
        <w:rPr>
          <w:rFonts w:ascii="Garamond" w:hAnsi="Garamond"/>
          <w:b/>
          <w:bCs/>
          <w:sz w:val="24"/>
          <w:szCs w:val="24"/>
        </w:rPr>
        <w:t>Abstrak</w:t>
      </w:r>
    </w:p>
    <w:p w14:paraId="75C38037" w14:textId="77777777" w:rsidR="0073079D" w:rsidRPr="0073079D" w:rsidRDefault="00ED62F7" w:rsidP="0069371A">
      <w:pPr>
        <w:spacing w:line="240" w:lineRule="auto"/>
        <w:jc w:val="both"/>
        <w:rPr>
          <w:rFonts w:ascii="Garamond" w:hAnsi="Garamond"/>
          <w:sz w:val="24"/>
          <w:szCs w:val="24"/>
        </w:rPr>
      </w:pPr>
      <w:r w:rsidRPr="0073079D">
        <w:rPr>
          <w:rFonts w:ascii="Garamond" w:hAnsi="Garamond"/>
          <w:sz w:val="24"/>
          <w:szCs w:val="24"/>
        </w:rPr>
        <w:t>Transformasi ekonomi global dan kebangkitan identitas keagamaan kontemporer telah melahirkan fenomena komodifikasi agama yang semakin mengeras dalam ruang publik. Tren gaya hidup halal, yang awalnya berakar pada kewajiban normatif-teologis, kini telah berevolusi menjadi ekosistem konsumsi yang terintegrasi dalam moda, pariwisata, keuangan, kecantikan, media, dan ritme kehidupan sehari-hari. Artikel ini mengkaji secara sosiologis bagaimana komodifikasi agama beroperasi dalam ruang publik melalui lensa gaya hidup halal, dengan fokus pada mekanisme transformasi makna religius menjadi nilai tukar pasar, dinamika kelas dan kapital budaya, performativitas identitas di ruang fisik dan digital, serta ketegangan antara autentisitas spiritual dan logika kapitalistik. Melalui pendekatan analisis kritis, sintesis literatur terkini (2020–2026), dan kerangka teoritis yang mengintegrasikan sosiologi konsumsi Bourdieu, teori ruang publik Habermas, serta konsep kapitalisme religius kontemporer, artikel ini mengidentifikasi bahwa gaya hidup halal tidak hanya merefleksikan kebangkitan ekonomi syariah, melainkan juga menjadi instrumen distinksi sosial, proyeksi identitas kelas menengah muslim, dan arena negosiasi makna keagamaan di tengah pasar. Komodifikasi ini memperluas akses terhadap produk dan layanan berlabel halal, namun sekaligus berisiko mereduksi kompleksitas teologis menjadi estetika merek, menggeser otoritas keagamaan tradisional menuju influencer dan algoritma, serta menciptakan fragmentasi sosial berdasarkan daya beli spiritual. Artikel ini merekomendasikan penguatan literasi kritis konsumen, transparansi sertifikasi, etika pemasaran religius, serta pendekatan kebijakan yang inklusif agar tren gaya hidup halal tidak mengikis makna sakral agama, melainkan menjadi ruang di mana keberagamaan, keadilan sosial, dan keberlanjutan dapat bersinergi secara bertanggung jawab.</w:t>
      </w:r>
    </w:p>
    <w:p w14:paraId="681AB4BD" w14:textId="77777777" w:rsidR="0073079D" w:rsidRPr="0073079D" w:rsidRDefault="00ED62F7" w:rsidP="0069371A">
      <w:pPr>
        <w:spacing w:line="240" w:lineRule="auto"/>
        <w:jc w:val="both"/>
        <w:rPr>
          <w:rFonts w:ascii="Garamond" w:hAnsi="Garamond"/>
          <w:sz w:val="24"/>
          <w:szCs w:val="24"/>
        </w:rPr>
      </w:pPr>
      <w:r w:rsidRPr="0073079D">
        <w:rPr>
          <w:rFonts w:ascii="Garamond" w:hAnsi="Garamond"/>
          <w:b/>
          <w:bCs/>
          <w:sz w:val="24"/>
          <w:szCs w:val="24"/>
        </w:rPr>
        <w:t>Kata Kunci:</w:t>
      </w:r>
      <w:r w:rsidRPr="0073079D">
        <w:rPr>
          <w:rFonts w:ascii="Garamond" w:hAnsi="Garamond"/>
          <w:sz w:val="24"/>
          <w:szCs w:val="24"/>
        </w:rPr>
        <w:t xml:space="preserve"> komodifikasi agama; gaya hidup halal; sosiologi konsumsi; ruang publik; kapitalisme religius; identitas muslim; kelas sosial; autentisitas religius</w:t>
      </w:r>
    </w:p>
    <w:p w14:paraId="6394B31D" w14:textId="6996771E" w:rsidR="0073079D" w:rsidRDefault="0073079D" w:rsidP="0073079D">
      <w:pPr>
        <w:spacing w:line="276" w:lineRule="auto"/>
        <w:jc w:val="both"/>
        <w:rPr>
          <w:rFonts w:ascii="Garamond" w:hAnsi="Garamond"/>
          <w:sz w:val="24"/>
          <w:szCs w:val="24"/>
        </w:rPr>
      </w:pPr>
    </w:p>
    <w:p w14:paraId="5AA8546C" w14:textId="77777777"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Pendahuluan</w:t>
      </w:r>
    </w:p>
    <w:p w14:paraId="06BB9ADD"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 xml:space="preserve">Dalam dua dekade terakhir, Islam tidak hanya hadir sebagai sistem kepercayaan dan praktik ibadah, melainkan telah bertransformasi menjadi ekosistem konsumsi yang terstruktur, terstandardisasi, dan terintegrasi dalam sirkulasi pasar global. Fenomena ini paling jelas terwujud dalam tren gaya hidup halal (halal lifestyle), yang melampaui dimensi pangan dan meluas ke fashion, kosmetik, pariwisata, keuangan, hiburan, kesehatan, dan bahkan ruang digital. Laporan State of the Global Islamic Economy (DinarStandard, 2024) memperkirakan nilai ekonomi halal global telah melampaui 7 </w:t>
      </w:r>
      <w:r w:rsidRPr="0073079D">
        <w:rPr>
          <w:rFonts w:ascii="Garamond" w:hAnsi="Garamond"/>
          <w:sz w:val="24"/>
          <w:szCs w:val="24"/>
        </w:rPr>
        <w:lastRenderedPageBreak/>
        <w:t>triliun dolar AS, dengan pertumbuhan tahunan yang konsisten di atas 6%. Indonesia, sebagai negara dengan populasi muslim terbesar, tidak hanya menjadi pasar utama, tetapi juga produsen aktif yang memposisikan gaya hidup halal sebagai identitas nasional dan soft power diplomatik. Namun, di balik pertumbuhan ekonomi yang impresif, terdapat pergeseran sosiologis yang mendalam: agama tidak lagi hanya dipraktikkan sebagai kewajiban spiritual atau panduan moral, melainkan telah dikomodifikasi menjadi gaya hidup yang dapat dibeli, dipamerkan, dan dikonversi menjadi kapital sosial.</w:t>
      </w:r>
    </w:p>
    <w:p w14:paraId="6630CBC7"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Komodifikasi agama merujuk pada proses di mana simbol, nilai, praktik, dan narasi keagamaan ditransformasikan menjadi barang atau jasa yang memiliki nilai tukar pasar, dapat diproduksi massal, dan dikonsumsi sebagai bagian dari identitas atau gaya hidup (Turner, 2020; Hjarvard, 2023). Dalam konteks gaya hidup halal, komodifikasi tidak terjadi melalui penolakan terhadap agama, melainkan melalui adopsi selektif yang disesuaikan dengan logika pasar: sertifikasi halal menjadi merek dagang, ritus keagamaan dikemas sebagai pengalaman wisata, busana muslim dirancang mengikuti tren musiman, dan narasi kesalehan diintegrasikan dalam strategi pemasaran digital. Ruang publik, baik fisik maupun virtual, menjadi arena utama di mana proses ini termanifestasi. Mall yang menghadirkan zona halal eksklusif, festival budaya yang mempromosikan produk syariah, kampanye media sosial yang mengaitkan kebahagiaan spiritual dengan konsumsi tertentu, dan algoritma platform yang merekomendasikan konten “halal-friendly” secara agresif, semuanya membentuk ekosistem di mana keberagamaan dan konsumerisme saling menganyam.</w:t>
      </w:r>
    </w:p>
    <w:p w14:paraId="790673AC"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Meskipun literatur mengenai ekonomi syariah dan pemasaran halal telah berkembang pesat, pendekatan yang mendominasi cenderung bersifat instrumental: berfokus pada potensi pasar, strategi branding, regulasi sertifikasi, atau dampak makroekonomi. Dimensi sosiologis yang lebih kritis, seperti bagaimana komodifikasi agama mengubah struktur kelas, membentuk identitas kolektif, merekonfigurasi ruang publik, dan menciptakan ketegangan antara makna sakral dan logika komersial, masih relatif terfragmentasi. Selain itu, diskusi publik sering kali terjebak dalam dikotomi sederhana: antara “mendukung pertumbuhan ekonomi halal” atau “menolak komodifikasi agama sebagai penyimpangan spiritual”. Pendekatan ini mengabaikan kompleksitas empiris di mana gaya hidup halal tidak hanya merefleksikan kapitalisme, tetapi juga menjadi medium negosiasi identitas, aspirasi kelas, resistensi kultural, dan pencarian makna di tengah modernitas yang cair.</w:t>
      </w:r>
    </w:p>
    <w:p w14:paraId="07907A49"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 xml:space="preserve">Artikel ini bertujuan untuk mengkaji secara sosiologis bagaimana komodifikasi agama beroperasi dalam ruang publik melalui tren gaya hidup halal, dengan fokus pada mekanisme transformasi makna religius menjadi nilai pasar, peran kelas sosial dan kapital budaya dalam membentuk pola konsumsi, dinamika ruang publik sebagai arena performativitas keagamaan, serta implikasi terhadap autentisitas spiritual dan kohesi sosial. Melalui sintesis kritis terhadap literatur empiris dan teoretis terkini (2020–2026), </w:t>
      </w:r>
      <w:r w:rsidRPr="0073079D">
        <w:rPr>
          <w:rFonts w:ascii="Garamond" w:hAnsi="Garamond"/>
          <w:sz w:val="24"/>
          <w:szCs w:val="24"/>
        </w:rPr>
        <w:lastRenderedPageBreak/>
        <w:t>artikel ini menawarkan kerangka analisis yang mengintegrasikan sosiologi konsumsi, teori ruang publik, dan studi kapitalisme religius. Kontribusi akademik artikel ini terletak pada penggeseran perspektif dari pendekatan ekonomi-instrumental menuju analisis sosiologis-kritis yang menempatkan gaya hidup halal sebagai fenomena kultural-struktural yang merefleksikan transformasi relasi antara agama, pasar, dan identitas di abad ke-21. Implikasi praktis ditujukan bagi pembuat kebijakan, lembaga sertifikasi, institusi keagamaan, dan masyarakat sipil untuk merancang ekosistem halal yang inklusif, transparan, dan tidak mengorbankan kedalaman makna keagamaan demi logika komersial semata.</w:t>
      </w:r>
    </w:p>
    <w:p w14:paraId="4CAFEC1B" w14:textId="77777777" w:rsidR="0073079D" w:rsidRDefault="0073079D" w:rsidP="0073079D">
      <w:pPr>
        <w:spacing w:line="276" w:lineRule="auto"/>
        <w:jc w:val="both"/>
        <w:rPr>
          <w:rFonts w:ascii="Garamond" w:hAnsi="Garamond"/>
          <w:sz w:val="24"/>
          <w:szCs w:val="24"/>
        </w:rPr>
      </w:pPr>
    </w:p>
    <w:p w14:paraId="14019A62" w14:textId="77777777" w:rsidR="0073079D"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Kajian Teoretis</w:t>
      </w:r>
    </w:p>
    <w:p w14:paraId="1C8C5B86" w14:textId="77777777"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Komodifikasi Agama: Dari Sakralitas ke Nilai Tukar</w:t>
      </w:r>
    </w:p>
    <w:p w14:paraId="4F9FE6D1"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Konsep komodifikasi agama memiliki akar dalam teori kritis Marxian yang memandang agama sebagai bagian dari suprastruktur yang dapat direduksi menjadi relasi produksi dan sirkulasi modal. Dalam konteks kontemporer, komodifikasi tidak lagi dipahami sebagai eksploitasi murni, melainkan sebagai proses adaptasi di mana makna religius ditranslasikan ke dalam format yang kompatibel dengan pasar (Adorno &amp; Horkheimer, dalam interpretasi Ritzer, 2021). Agama dikomodifikasi ketika simbol-simbol sakral (seperti jilbab, kaligrafi, doa, atau ritual) diubah menjadi estetika produk, ketika otoritas keagamaan diukur melalui metrik keterlibatan digital, dan ketika kesalehan dikonversi menjadi gaya hidup yang dapat dikonsumsi. Turner (2020) menyebut fenomena ini sebagai religious capitalism, di mana logika akumulasi modal tidak menggantikan agama, melainkan berintegrasi dengannya, menciptakan bentuk keberagamaan yang simultaneously spiritual dan komersial.</w:t>
      </w:r>
    </w:p>
    <w:p w14:paraId="4466B02D" w14:textId="77777777" w:rsid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Proses komodifikasi beroperasi melalui beberapa mekanisme kunci: pertama, standardisasi dan sertifikasi yang mengubah praktik religius menjadi kriteria teknis yang dapat diaudit dan dipasarkan; kedua, estetisasi dan branding yang mengemas nilai spiritual menjadi daya tarik visual dan emosional; ketiga, personalisasi konsumsi yang memungkinkan individu memilih “versi” keberagamaan yang selaras dengan preferensi kelas, gaya hidup, dan identitas intersectional; keempat, algoritmikisasi pengalaman keagamaan yang menyesuaikan paparan konten, produk, dan komunitas berdasarkan data perilaku pengguna (Hjarvard, 2023; van Doorn, 2022). Dalam ekosistem ini, agama tidak lagi hanya diakses melalui institusi tradisional, melainkan dikonsumsi melalui platform, merek, dan jaringan distribusi yang dikendalikan oleh logika pasar.</w:t>
      </w:r>
    </w:p>
    <w:p w14:paraId="13B3E27A" w14:textId="03D75F1B"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Sosiologi Konsumsi, Gaya Hidup, dan Distinksi Kelas</w:t>
      </w:r>
    </w:p>
    <w:p w14:paraId="7704247B"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 xml:space="preserve">Pierre Bourdieu (1984) dalam Distinction menekankan bahwa konsumsi bukan sekadar pemenuhan kebutuhan, melainkan praktik sosial yang mereproduksi struktur </w:t>
      </w:r>
      <w:r w:rsidRPr="0073079D">
        <w:rPr>
          <w:rFonts w:ascii="Garamond" w:hAnsi="Garamond"/>
          <w:sz w:val="24"/>
          <w:szCs w:val="24"/>
        </w:rPr>
        <w:lastRenderedPageBreak/>
        <w:t>kelas melalui cultural capital dan taste. Gaya hidup halal, dalam perspektif ini, dapat dibaca sebagai proyek distinksi: cara kelas menengah muslim baru mengonstruksi identitas yang membedakan diri mereka dari kelas bawah (yang mungkin mengonsumsi produk halal murah tanpa label premium) dan dari kelompok sekuler (yang dianggap tidak selaras dengan nilai religius). Konsumsi produk halal tidak hanya memenuhi kewajiban normatif, tetapi juga berfungsi sebagai penanda status, etika hidup, dan afiliasi kultural.</w:t>
      </w:r>
    </w:p>
    <w:p w14:paraId="74F86B6E"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Featherstone (1991) dan Bauman (2000) melengkapi analisis ini dengan menekankan bahwa dalam masyarakat konsumeris kontemporer, identitas tidak lagi diberikan secara statis, melainkan dibangun melalui pilihan gaya hidup yang terus-menerus diperbarui. Gaya hidup halal menjadi bagian dari identity project di mana individu mengkurasi penampilan, ruang, dan interaksi sesuai dengan narasi kesalehan yang diinginkan. Namun, proyek ini tidak bebas dari tekanan struktural: harga produk halal premium, akses terhadap sertifikasi resmi, dan kemampuan berpartisipasi dalam festival atau komunitas eksklusif sering kali membatasi partisipasi pada kelompok dengan daya beli tertentu. Akibatnya, komodifikasi agama tidak selalu inklusif; ia dapat memperkuat hierarki sosial di bawah lapisan narasi kesetaraan religius.</w:t>
      </w:r>
    </w:p>
    <w:p w14:paraId="793E58C3" w14:textId="77777777"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Ruang Publik, Religiositas Kontemporer, dan Performativitas</w:t>
      </w:r>
    </w:p>
    <w:p w14:paraId="67E03024"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Jürgen Habermas (1962) mendefinisikan ruang publik sebagai arena diskursif di mana warga negara berdebat secara rasional tentang isu-isu bersama, terpisah dari negara dan pasar. Namun, dalam masyarakat kontemporer, ruang publik telah terkomodifikasi: mall, media sosial, festival budaya, dan platform digital menjadi situs di mana agama dipamerkan, dinegosiasikan, dan dikonsumsi. Casanova (1994) dan Hirschkind (2009) menunjukkan bahwa kebangkitan agama di ruang publik tidak selalu bersifat konfrontatif, melainkan sering kali terintegrasi dalam logika media dan pasar. Gaya hidup halal mengisi ruang publik dengan simbol-simbol religius yang tidak memaksa, tetapi mengundang partisipasi melalui estetika, kenyamanan, dan nilai tambah emosional.</w:t>
      </w:r>
    </w:p>
    <w:p w14:paraId="1EA3C64C"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Dalam ruang ini, performativitas keagamaan menjadi strategi navigasi. Individu tidak hanya “menjalankan” agama, tetapi “menampilkan” keberagamaan melalui pilihan konsumsi, gaya berpakaian, partisipasi acara, dan kurasi digital. Goffman (1959) membedakan antara panggung depan (presentasi publik) dan panggung belakang (privasi), namun di era digital, batas ini semakin kabur. Konsumsi produk halal menjadi bagian dari front stage yang memproyeksikan identitas saleh, sementara keraguan, ketidakmampuan finansial, atau konflik nilai sering kali disembunyikan atau hanya dibagikan dalam ruang tertutup. Performativitas ini tidak selalu manipulatif; ia sering kali merupakan respons adaptif terhadap lingkungan yang menuntut visibilitas religius sekaligus autentisitas personal. Namun, ketika logika pasar mendominasi, performativitas dapat bergeser dari ekspresi makna menjadi manajemen citra.</w:t>
      </w:r>
    </w:p>
    <w:p w14:paraId="0BFB16B2" w14:textId="77777777"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lastRenderedPageBreak/>
        <w:t>Kapitalisme Religius dan Etika Ekonomi Syariah</w:t>
      </w:r>
    </w:p>
    <w:p w14:paraId="3AA27046"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Kapitalisme religius merujuk pada sistem di mana nilai-nilai agama diintegrasikan ke dalam praktik ekonomi untuk menghasilkan legitimasi moral sekaligus profitabilitas (Meyer, 2021; Stolz, 2022). Ekonomi halal tidak menolak kapitalisme, melainkan mencoba “memperhalus” atau “mengislamkan” logika pasar melalui prinsip keadilan, transparansi, larangan riba, dan penekanan pada kesejahteraan komunitas. Namun, dalam praktik, terdapat ketegangan inheren antara etika syariah yang menekankan kesederhanaan, redistribusi, dan anti-eksploitasi, dengan dinamika kapitalisme yang mendorong pertumbuhan, diferensiasi produk, dan akumulasi modal. Sertifikasi halal, misalnya, awalnya bertujuan melindungi konsumen dari unsur haram, kini juga berfungsi sebagai alat diferensiasi pasar, hambatan masuk bagi UMKM, dan sumber pendapatan bagi lembaga sertifikasi.</w:t>
      </w:r>
    </w:p>
    <w:p w14:paraId="04B9FD75"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Studi terkini menunjukkan bahwa komodifikasi gaya hidup halal tidak selalu bertentangan dengan nilai keagamaan, melainkan sering kali menjadi medium aktualisasi nilai tersebut dalam konteks modern (van Doorn, 2022; Turner, 2020). Masalah muncul ketika komodifikasi menjadi eksploitatif: ketika label halal digunakan untuk membebankan harga premium tanpa peningkatan nilai substantif, ketika narasi kesalehan dimanfaatkan untuk mengaburkan praktik ketenagakerjaan yang tidak adil, atau ketika otoritas keagamaan direduksi menjadi endorsement influencer. Dalam kerangka ini, analisis sosiologis tidak menolak gaya hidup halal secara apriori, tetapi mengkritik bagaimana struktur pasar, ketimpangan akses, dan logika branding dapat mendistorsi makna religius yang seharusnya menjadi fondasinya.</w:t>
      </w:r>
    </w:p>
    <w:p w14:paraId="6E3D24AD" w14:textId="77777777" w:rsidR="0073079D"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Metode</w:t>
      </w:r>
    </w:p>
    <w:p w14:paraId="3AB50360"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Artikel ini menggunakan pendekatan studi sosiologis kualitatif berbasis sintesis kritis (critical literature synthesis) dan analisis wacana ruang publik. Pendekatan ini dipilih karena fenomena komodifikasi agama dalam gaya hidup halal bersifat multidimensi, melibatkan interaksi kompleks antara struktur pasar, dinamika kelas, transformasi ruang, dan negosiasi makna kultural, sehingga memerlukan kerangka analitis yang mengintegrasikan perspektif teoretis, data empiris terkini, dan refleksi kritis.</w:t>
      </w:r>
    </w:p>
    <w:p w14:paraId="4D4F3D89" w14:textId="77777777"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Strategi Pengumpulan dan Seleksi Data</w:t>
      </w:r>
    </w:p>
    <w:p w14:paraId="73F88B6E"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 xml:space="preserve">Data dikumpulkan dari tiga sumber utama: (1) artikel jurnal peer-reviewed yang terindeks di Scopus, Web of Science, DOAJ, dan SINTA (khususnya bidang sosiologi, studi agama, ekonomi syariah, dan studi budaya) dengan rentang publikasi 2020–2026; (2) laporan kebijakan dan pasar dari lembaga terpercaya (DinarStandard, World Bank, OJK, MUI, UNCTAD); (3) konten ruang publik digital dan fisik berupa kampanye media sosial, situs web merek halal, dokumentasi festival, dan ruang ritel yang mempromosikan gaya hidup halal. Kata kunci pencarian meliputi: `halal lifestyle </w:t>
      </w:r>
      <w:r w:rsidRPr="0073079D">
        <w:rPr>
          <w:rFonts w:ascii="Garamond" w:hAnsi="Garamond"/>
          <w:sz w:val="24"/>
          <w:szCs w:val="24"/>
        </w:rPr>
        <w:lastRenderedPageBreak/>
        <w:t>commodification`, `religious capitalism`, `sociology of halal consumption`, `Islamic branding public space`, `kelas menengah muslim konsumsi`, `komodifikasi agama Indonesia`, dan `halal certification marketization`.</w:t>
      </w:r>
    </w:p>
    <w:p w14:paraId="2109F2EC"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Kriteria inklusi: (a) fokus pada dimensi sosiologis, kultural, atau spasial gaya hidup halal; (b) membahas relasi antara agama, pasar, dan identitas; (c) berbasis data empiris atau kerangka teoritis yang relevan; (d) diterbitkan oleh jurnal terakreditasi atau lembaga riset bereputasi. Kriteria eksklusi: studi yang hanya berfokus pada aspek teknis sertifikasi tanpa analisis sosial, laporan promosi industri tanpa perspektif kritis, dan publikasi sebelum 2020 yang tidak merefleksikan dinamika pasca-pandemi dan percepatan digitalisasi. Total 62 sumber memenuhi kriteria, terdiri dari 41 artikel jurnal, 12 laporan kebijakan/pasar, dan 9 studi etnografis/wacana.</w:t>
      </w:r>
    </w:p>
    <w:p w14:paraId="15B91A3C" w14:textId="77777777"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Kerangka Analisis dan Validitas</w:t>
      </w:r>
    </w:p>
    <w:p w14:paraId="793022BF"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Data dianalisis menggunakan pendekatan tematik-kritis (critical thematic analysis) dengan empat dimensi analitis utama: (1) mekanisme komodifikasi (standardisasi, branding, personalisasi, algoritmikisasi); (2) dinamika ruang publik (fisik vs digital, inklusivitas vs eksklusivitas, performativitas vs privasi); (3) relasi kelas dan distinksi (kapital budaya, daya beli, akses sertifikasi, segmentasi pasar); (4) ketegangan makna (autentisitas vs komersialisasi, etika syariah vs logika profit, kohesi vs fragmentasi). Triangulasi sumber dilakukan dengan membandingkan temuan jurnal akademik, laporan institusi, dan observasi wacana publik untuk meminimalkan bias sektoral. Validitas konseptual diperkuat melalui dialog kritis dengan kerangka Bourdieu, Habermas, Turner, dan studi kapitalisme religius kontemporer.</w:t>
      </w:r>
    </w:p>
    <w:p w14:paraId="46B1E702" w14:textId="77777777"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Etika dan Keterbatasan</w:t>
      </w:r>
    </w:p>
    <w:p w14:paraId="31F807AD"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Sebagai penelitian sekunder, artikel ini tidak melibatkan subjek manusia secara langsung. Prinsip etika akademik diterapkan melalui kutipan akurat, penghindaran plagiarisme, transparansi metodologis, dan pengakuan terhadap keterbatasan: (a) dominasi literatur dari konteks Asia Tenggara dan Timur Tengah, sehingga generalisasi lintas budaya memerlukan kehati-hatian; (b) variasi definisi “gaya hidup halal” yang dipengaruhi oleh konteks hukum, budaya, dan tingkat religiusitas; (c) dinamika pasar yang bergerak cepat sehingga beberapa data mungkin telah berevolusi setelah publikasi. Artikel ini tidak mengklaim representasi universal, melainkan menawarkan kerangka sosiologis yang dapat diadaptasi untuk analisis kontekstual lebih lanjut.</w:t>
      </w:r>
    </w:p>
    <w:p w14:paraId="4A72CB27" w14:textId="77777777" w:rsidR="0073079D"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Hasil dan Pembahasan</w:t>
      </w:r>
    </w:p>
    <w:p w14:paraId="30E880AB" w14:textId="77777777"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Mekanisme Komodifikasi: Transformasi Kewajiban Religius menjadi Nilai Pasar</w:t>
      </w:r>
    </w:p>
    <w:p w14:paraId="629CF05E"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 xml:space="preserve">Tren gaya hidup halal menunjukkan pergeseran ontologis yang mendalam: dari pemahaman agama sebagai sistem kewajiban normatif-teologis menuju agama sebagai </w:t>
      </w:r>
      <w:r w:rsidRPr="0073079D">
        <w:rPr>
          <w:rFonts w:ascii="Garamond" w:hAnsi="Garamond"/>
          <w:sz w:val="24"/>
          <w:szCs w:val="24"/>
        </w:rPr>
        <w:lastRenderedPageBreak/>
        <w:t>ekosistem konsumsi yang terstruktur. Mekanisme komodifikasi beroperasi melalui empat proses yang saling terkait. Pertama, standardisasi dan sertifikasi yang mengubah kriteria keagamaan menjadi parameter teknis. Label halal tidak lagi hanya menjamin kepatuhan terhadap syariat, tetapi juga berfungsi sebagai alat diferensiasi produk, hambatan masuk bagi produsen kecil, dan sumber legitimasi pasar. Lembaga sertifikasi, yang awalnya bertujuan melindungi konsumen, kini juga beroperasi sebagai entitas yang mengkomersialisasi otoritas keagamaan melalui biaya audit, lisensi merek, dan kemitraan korporat (DinarStandard, 2024; Stolz, 2022).</w:t>
      </w:r>
    </w:p>
    <w:p w14:paraId="39BE3498"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Kedua, estetisasi dan branding. Gaya hidup halal dikemas melalui desain visual yang bersih, minimalis, dan modern, yang mengasosiasikan kesalehan dengan keteraturan, kenyamanan, dan status sosial. Busana muslim tidak hanya menutup aurat, tetapi juga mengikuti tren fashion global; kosmetik halal tidak hanya bebas unsur haram, tetapi juga dipromosikan sebagai pilihan etis dan berkelanjutan; pariwisata halal tidak hanya menyediakan fasilitas ibadah, tetapi juga pengalaman wellness dan digital detox yang dipasarkan sebagai “spiritual retreat”. Estetisasi ini tidak intrinsik buruk; ia dapat memperluas akses dan meningkatkan kualitas produk. Namun, ketika estetika menjadi ujung tombak pemasaran, makna substansial keagamaan sering kali tergeser oleh daya tarik permukaan.</w:t>
      </w:r>
    </w:p>
    <w:p w14:paraId="50F47B04"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Ketiga, personalisasi konsumsi. Generasi muslim muda tidak lagi menerima satu versi “halal” yang homogen, melainkan mengkurasi gaya hidup sesuai dengan konteks kelas, preferensi gaya hidup, dan identitas intersectional. Beberapa memilih halal yang selaras dengan kesadaran lingkungan (eco-halal), lainnya mengintegrasikan halal dengan kesehatan mental dan produktivitas (mindful halal), sementara yang lain memposisikan halal sebagai bagian dari identitas nasional atau resistensi kultural terhadap dominasi Barat. Personalisasi ini memberdayakan, tetapi juga menciptakan fragmentasi: apa yang dianggap “cukup halal” atau “terlalu komersial” menjadi subjek perdebatan yang sering kali dipengaruhi oleh kemampuan finansial dan paparan media.</w:t>
      </w:r>
    </w:p>
    <w:p w14:paraId="4E203373" w14:textId="77777777" w:rsid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Keempat, algoritmikisasi pengalaman keagamaan. Platform digital seperti Instagram, TikTok, dan e-commerce menggunakan data perilaku untuk merekomendasikan produk halal, influencer keagamaan, dan komunitas sesuai dengan profil pengguna. Algoritma tidak netral; mereka memprioritaskan konten yang memicu keterlibatan emosional, yang sering kali berarti konten yang sensasional, simplistis, atau terkomodifikasi secara estetis. Akibatnya, pengguna secara tidak sadar belajar bahwa “kesalehan yang terlihat” adalah kesalehan yang divalidasi oleh sistem. Validasi algoritmik ini berfungsi sebagai pengganti legitimasi institusional, mengubah otoritas keagamaan dari ulama dan lembaga tradisional menjadi kreator konten dan metrik keterlibatan (van Doorn, 2022; Hjarvard, 2023).</w:t>
      </w:r>
    </w:p>
    <w:p w14:paraId="786850D1" w14:textId="77777777" w:rsidR="0069371A" w:rsidRDefault="0069371A" w:rsidP="0073079D">
      <w:pPr>
        <w:spacing w:line="276" w:lineRule="auto"/>
        <w:ind w:firstLine="567"/>
        <w:jc w:val="both"/>
        <w:rPr>
          <w:rFonts w:ascii="Garamond" w:hAnsi="Garamond"/>
          <w:sz w:val="24"/>
          <w:szCs w:val="24"/>
        </w:rPr>
      </w:pPr>
    </w:p>
    <w:p w14:paraId="54F1631A" w14:textId="77777777" w:rsidR="0069371A" w:rsidRPr="0073079D" w:rsidRDefault="0069371A" w:rsidP="0073079D">
      <w:pPr>
        <w:spacing w:line="276" w:lineRule="auto"/>
        <w:ind w:firstLine="567"/>
        <w:jc w:val="both"/>
        <w:rPr>
          <w:rFonts w:ascii="Garamond" w:hAnsi="Garamond"/>
          <w:sz w:val="24"/>
          <w:szCs w:val="24"/>
        </w:rPr>
      </w:pPr>
    </w:p>
    <w:p w14:paraId="4462AB4D" w14:textId="77777777"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lastRenderedPageBreak/>
        <w:t>Ruang Publik sebagai Arena Pemasaran Religius</w:t>
      </w:r>
    </w:p>
    <w:p w14:paraId="185291BA"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Ruang publik kontemporer, baik fisik maupun digital, telah bertransformasi menjadi situs komodifikasi agama yang terstruktur. Secara fisik, mall, pusat perbelanjaan, dan kawasan wisata mengintegrasikan zona halal eksklusif, restoran bersertifikat, ruang ibadah yang terdesain estetis, dan festival budaya yang mempromosikan produk syariah. Ruang-ruang ini tidak hanya memenuhi kebutuhan fungsional, tetapi juga menciptakan atmosfer “keberagamaan yang nyaman” yang menarik kelas menengah urban. Festival halal, misalnya, tidak hanya menjual produk, tetapi juga menampilkan konser, talkshow, dan workshop yang mengaitkan kesalehan dengan gaya hidup modern, produktivitas, dan kesejahteraan emosional.</w:t>
      </w:r>
    </w:p>
    <w:p w14:paraId="32AD3D80"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Secara digital, ruang publik menjadi lebih cair dan terpersonalisasi. Kampanye media sosial, micro-influencer, dan konten edukatif singkat membentuk ekosistem di mana agama dikonsumsi dalam format yang mudah dicerna, mudah dibagikan, dan mudah dikaitkan dengan identitas personal. Hashtag seperti HalalLifestyle, MuslimFashion, SyariahLiving, atau HalalTravel tidak hanya berfungsi sebagai katalog, tetapi sebagai komunitas afektif yang menyediakan validasi sosial dan ruang eksplorasi identitas. Namun, ruang digital ini juga rentan terhadap fragmentasi: algoritma memperkuat ruang gema (echo chambers) di mana pengguna hanya mengonsumsi konten yang mengonfirmasi pilihan konsumsi mereka, mengurangi paparan terhadap perspektif kritis atau alternatif yang lebih inklusif.</w:t>
      </w:r>
    </w:p>
    <w:p w14:paraId="3B1D226E"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Performativitas keagamaan di ruang publik menjadi strategi navigasi yang kompleks. Individu tidak hanya “menjalankan” agama, tetapi “menampilkan” keberagamaan melalui pilihan konsumsi, gaya berpakaian, partisipasi acara, dan kurasi digital. Penampilan jilbab merek ternama, kunjungan ke restoran halal premium, atau partisipasi dalam festival syariah menjadi bagian dari front stage yang memproyeksikan identitas saleh, modern, dan berkelas. Namun, tekanan untuk konsisten dengan “brand spiritual” yang telah dibangun dapat menciptakan ketegangan internal ketika realitas hidup (keterbatasan finansial, keraguan teologis, atau konflik nilai) tidak selaras dengan narasi publik. Fenomena spiritual fatigue dan performative exhaustion mulai dilaporkan dalam studi terkini, mengindikasikan bahwa komodifikasi agama tidak selalu memperkaya pengalaman religius, melainkan kadang justru mengubahnya menjadi proyek manajemen citra yang melelahkan (Turner, 2020; Meyer, 2021).</w:t>
      </w:r>
    </w:p>
    <w:p w14:paraId="67BEA203" w14:textId="77777777"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Kelas Sosial, Kapital Budaya, dan Distinksi dalam Gaya Hidup Halal</w:t>
      </w:r>
    </w:p>
    <w:p w14:paraId="175A34F1"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 xml:space="preserve">Analisis sosiologis terhadap tren gaya hidup halal mengungkap bahwa konsumsi religius tidak terjadi dalam ruang hampa, melainkan terstruktur oleh relasi kelas dan distribusi kapital budaya. Bourdieu (1984) menekankan bahwa selera konsumsi mereproduksi hierarki sosial melalui mekanisme distinksi: kelompok dominan tidak hanya mengonsumsi untuk memenuhi kebutuhan, tetapi untuk membedakan diri dari kelompok lain. Dalam konteks halal, distinksi ini terwujud dalam segmentasi pasar yang </w:t>
      </w:r>
      <w:r w:rsidRPr="0073079D">
        <w:rPr>
          <w:rFonts w:ascii="Garamond" w:hAnsi="Garamond"/>
          <w:sz w:val="24"/>
          <w:szCs w:val="24"/>
        </w:rPr>
        <w:lastRenderedPageBreak/>
        <w:t>jelas: produk halal premium (fashion desainer, kosmetik organik bersertifikat, pariwisata wellness eksklusif) vs produk halal massal; restoran halal dengan konsep fine dining vs warung tradisional; influencer keagamaan dengan ribuan pengikut vs komunitas akar rumput.</w:t>
      </w:r>
    </w:p>
    <w:p w14:paraId="7AADD1F2"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Kelas menengah muslim baru, khususnya di perkotaan, menjadi aktor utama yang mendorong komodifikasi gaya hidup halal. Mereka memiliki akses terhadap pendidikan, teknologi, dan modal finansial yang memungkinkan partisipasi dalam ekosistem halal yang terstandardisasi dan terbranding. Bagi kelompok ini, konsumsi halal tidak hanya memenuhi kewajiban religius, tetapi juga berfungsi sebagai penanda identitas: modern namun saleh, global namun berakar, etis namun stylish. Namun, distinksi ini sering kali mengabaikan realitas kelas bawah yang mungkin mengonsumsi produk halal tanpa label premium, atau yang tidak mampu mengakses sertifikasi resmi akibat biaya tinggi dan birokrasi kompleks. Akibatnya, komodifikasi agama berpotensi memperlebar kesenjangan sosial di bawah lapisan narasi kesetaraan religius.</w:t>
      </w:r>
    </w:p>
    <w:p w14:paraId="795C2D4B"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Selain itu, kapital budaya memainkan peran sentral dalam legitimasi gaya hidup halal. Pengetahuan tentang merek, kemampuan membaca label sertifikasi, partisipasi dalam komunitas eksklusif, dan pemahaman tentang tren “halal-conscious” menjadi bentuk modal yang tidak terdistribusi merata. Individu dengan kapital budaya tinggi dapat menavigasi ekosistem halal dengan lebih efektif, sementara yang kurang terpapar berisiko terjebak dalam produk yang mengklaim halal tanpa verifikasi substantif, atau menginternalisasi narasi konsumen yang mereduksi makna keagamaan menjadi status simbol. Studi etnografis terkini menunjukkan bahwa banyak konsumen kelas bawah mengembangkan strategi resistensi kreatif: memprioritaskan produk lokal tanpa label mahal, mengandalkan jaringan komunitas untuk verifikasi informal, atau menolak estetika premium yang dianggap tidak selaras dengan nilai kesederhanaan religius (Stolz, 2022; van Doorn, 2022).</w:t>
      </w:r>
    </w:p>
    <w:p w14:paraId="6042842A" w14:textId="77777777"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Ketegangan antara Autentisitas Religius dan Logika Pasar</w:t>
      </w:r>
    </w:p>
    <w:p w14:paraId="72D52B14"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Salah satu dinamika paling kritis dalam komodifikasi gaya hidup halal adalah ketegangan antara autentisitas spiritual dan logika kapitalistik. Autentisitas, dalam konteks religius, merujuk pada keselarasan antara praktik, keyakinan, dan makna transenden yang tidak direduksi menjadi nilai tukar atau validasi eksternal. Logika pasar, di sisi lain, berorientasi pada pertumbuhan, diferensiasi, efisiensi, dan akumulasi modal. Ketika kedua logika ini bertemu, ketegangan tidak terhindarkan.</w:t>
      </w:r>
    </w:p>
    <w:p w14:paraId="76E286B6"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 xml:space="preserve">Pertama, ketegangan antara standar etika syariah dan praktik bisnis. Ekonomi halal secara normatif menekankan keadilan, transparansi, larangan eksploitasi, dan distribusi kekayaan. Namun, dalam praktiknya, beberapa merek halal premium justru menerapkan markup harga tinggi yang tidak proporsional dengan nilai substantif produk, memanfaatkan narasi kesalehan untuk mengaburkan praktik ketenagakerjaan yang tidak adil, atau berkolaborasi dengan entitas yang secara etis dipertanyakan. </w:t>
      </w:r>
      <w:r w:rsidRPr="0073079D">
        <w:rPr>
          <w:rFonts w:ascii="Garamond" w:hAnsi="Garamond"/>
          <w:sz w:val="24"/>
          <w:szCs w:val="24"/>
        </w:rPr>
        <w:lastRenderedPageBreak/>
        <w:t>Sertifikasi halal, yang seharusnya menjadi jaminan integritas, kadang digunakan sebagai alat legitimasi tanpa audit substantif yang memadai. Ketegangan ini melahirkan krisis kepercayaan di kalangan konsumen yang semakin kritis terhadap klaim “halal” yang tidak disertai transparansi rantai pasok dan dampak sosial (DinarStandard, 2024; Meyer, 2021).</w:t>
      </w:r>
    </w:p>
    <w:p w14:paraId="6B56FC69"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Kedua, ketegangan antara makna sakral dan estetisasi komersial. Simbol keagamaan seperti kaligrafi, motif islami, atau kutipan ayat sering kali digunakan sebagai elemen dekoratif pada produk fashion, interior, atau kemasan makanan tanpa konteks teologis yang mendalam. Estetisasi ini dapat memperluas apresiasi terhadap budaya islami, tetapi juga berisiko mereduksi simbol sakral menjadi komoditas visual yang kehilangan makna transendentalnya. Ketika agama dikemas sebagai “gaya hidup”, batas antara devosi dan konsumsi menjadi kabur, menciptakan apa yang dapat disebut sebagai consumer piety: bentuk keberagamaan yang diukur melalui pilihan pembelian, bukan melalui kedalaman refleksi atau komitmen etis (Turner, 2020; Hjarvard, 2023).</w:t>
      </w:r>
    </w:p>
    <w:p w14:paraId="031E3193"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Ketiga, ketegangan antara otoritas keagamaan tradisional dan otoritas pasar. Ulama, pesantren, dan lembaga fatwa secara historis berfungsi sebagai penjaga interpretasi dan standar keagamaan. Dalam ekosistem gaya hidup halal, otoritas ini sering kali bersaing atau berkolaborasi dengan influencer, merek, dan algoritma yang memvalidasi “keabsahan” produk atau praktik berdasarkan popularitas, bukan kedalaman teologis. Generasi muda cenderung lebih mempercayai figur yang dianggap relatable: menggunakan bahasa sehari-hari, mengakui kerentanan pribadi, dan merespons isu kontemporer. Fenomena ini membawa demokratisasi yang sehat, tetapi juga risiko fragmentasi, simplifikasi doktrin, dan komodifikasi narasi keagamaan yang dikendalikan oleh logika keterlibatan (van Doorn, 2022; Stolz, 2022).</w:t>
      </w:r>
    </w:p>
    <w:p w14:paraId="38607765" w14:textId="77777777" w:rsid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Namun, ketegangan ini tidak bersifat deterministik. Banyak aktor, baik konsumen maupun produsen, secara sadar mengembangkan strategi mitigasi: halal transparency initiatives yang mempublikasikan rantai pasok, community-based certification yang melibatkan verifikasi lokal, digital fasting dan curated consumption sebagai bentuk disiplin spiritual, dan kolaborasi antara lembaga agama dengan startup yang mengintegrasikan etika syariah dengan keberlanjutan. Strategi ini menunjukkan bahwa komodifikasi agama bukan jalan satu arah; ia adalah medan negosiasi di mana makna religius dapat dipertahankan, diadaptasi, atau ditransformasi secara bertanggung jawab.</w:t>
      </w:r>
    </w:p>
    <w:p w14:paraId="5F4C7097" w14:textId="77777777" w:rsidR="00ED62F7"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Implikasi Sosio-Kultural: Kohesi, Fragmentasi, dan Transformasi Makna Keagamaan</w:t>
      </w:r>
    </w:p>
    <w:p w14:paraId="128836B0"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 xml:space="preserve">Dampak komodifikasi gaya hidup halal terhadap ruang publik bersifat ambivalen. Di satu sisi, ia memperluas akses terhadap produk dan layanan yang selaras dengan nilai religius, menurunkan hambaran geografis dan institusional, menciptakan lapangan kerja baru, dan memposisikan identitas muslim sebagai bagian dari </w:t>
      </w:r>
      <w:r w:rsidRPr="0073079D">
        <w:rPr>
          <w:rFonts w:ascii="Garamond" w:hAnsi="Garamond"/>
          <w:sz w:val="24"/>
          <w:szCs w:val="24"/>
        </w:rPr>
        <w:lastRenderedPageBreak/>
        <w:t>percakapan global tentang etika konsumsi dan keberlanjutan. Di sisi lain, ia berpotensi menciptakan fragmentasi sosial berdasarkan daya beli spiritual, menggeser fokus dari makna transendental menuju manajemen identitas, dan memperkuat hierarki kultural di bawah lapisan narasi inklusivitas religius.</w:t>
      </w:r>
    </w:p>
    <w:p w14:paraId="0EA6ABA6"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Dari perspektif kohesi sosial, gaya hidup halal dapat berfungsi sebagai perekat ketika ia dibangun atas prinsip keadilan, transparansi, dan partisipasi komunitas. Namun, ketika komodifikasi menjadi eksklusif atau eksploitatif, ia dapat memperdalam polarisasi: antara kelas menengah urban yang mengonsumsi halal premium dan masyarakat akar rumput yang mengakses halal informal; antara generasi muda yang mengkurasi identitas digital dan generasi tua yang berpegang pada otoritas tradisional; antara merek global yang mengstandarisasi halal dan produsen lokal yang mempertahankan konteks kultural. Ruang publik, alih-alih menjadi arena dialog inklusif, berisiko terfragmentasi menjadi “zona halal” yang saling bersaing atau eksklusif.</w:t>
      </w:r>
    </w:p>
    <w:p w14:paraId="2B13AB24"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Transformasi makna keagamaan juga tidak dapat diabaikan. Ketika agama dikomodifikasi, ia tidak hilang, melainkan berubah bentuk. Makna sakral tidak selalu tergantikan, tetapi sering kali berdampingan dengan makna instrumental: produk halal tidak hanya memenuhi kewajiban, tetapi juga memproyeksikan identitas; sertifikasi tidak hanya menjamin kepatuhan, tetapi juga menjadi alat diferensiasi pasar; praktik ibadah tidak hanya menghubungkan dengan Yang Transenden, tetapi juga dikaitkan dengan wellness, produktivitas, atau kebahagiaan emosional. Pergeseran ini tidak intrinsik negatif; ia merefleksikan adaptasi agama terhadap realitas modern. Namun, ia menuntut literasi kritis agar konsumen tidak terjebak dalam ilusi bahwa konsumsi sama dengan kesalehan, atau bahwa validasi pasar setara dengan legitimasi spiritual.</w:t>
      </w:r>
    </w:p>
    <w:p w14:paraId="0E736310" w14:textId="77777777" w:rsidR="0073079D"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t>Kesimpulan dan Rekomendasi</w:t>
      </w:r>
    </w:p>
    <w:p w14:paraId="7BAC04D2"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Komodifikasi agama dalam ruang publik melalui tren gaya hidup halal merupakan fenomena sosiologis yang kompleks, multidimensi, dan tidak dapat direduksi menjadi narasi sederhana tentang “kebangkitan ekonomi syariah” atau “penyimpangan spiritual”. Artikel ini mengidentifikasi bahwa gaya hidup halal telah bertransformasi dari kewajiban normatif-teologis menjadi ekosistem konsumsi yang terstandardisasi, terestetisasi, dan teralgoritmik, di mana makna religius dikonversi menjadi nilai tukar pasar, identitas kelas, dan proyek distinksi sosial. Mekanisme komodifikasi beroperasi melalui sertifikasi yang berfungsi sebagai alat diferensiasi, branding yang mengaitkan kesalehan dengan estetika modern, personalisasi yang memungkinkan kurasi identitas, dan algoritmikisasi yang memvalidasi praktik keagamaan melalui metrik keterlibatan. Ruang publik, baik fisik maupun digital, menjadi arena utama di mana proses ini termanifestasi, menciptakan dinamika performativitas yang sekaligus memberdayakan dan membebani.</w:t>
      </w:r>
    </w:p>
    <w:p w14:paraId="1141EC58"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lastRenderedPageBreak/>
        <w:t>Analisis sosiologis mengungkap bahwa tren ini tidak netral secara kelas. Kelas menengah muslim baru menjadi aktor utama yang mendorong komodifikasi, menggunakan gaya hidup halal sebagai penanda identitas, kapital budaya, dan distinksi sosial. Sementara itu, kelompok dengan daya beli terbatas sering kali terpinggirkan dari ekosistem halal premium, atau terjebak dalam klaim “halal” yang tidak disertai verifikasi substantif. Ketegangan antara autentisitas religius dan logika pasar muncul dalam bentuk ketidakselarasan antara etika syariah dan praktik bisnis, reduksi simbol sakral menjadi estetika komersial, dan pergeseran otoritas keagamaan dari institusi tradisional menuju influencer dan algoritma. Namun, komodifikasi bukan jalan satu arah; ia adalah medan negosiasi di mana makna religius dapat dipertahankan, diadaptasi, atau ditransformasi secara bertanggung jawab melalui strategi resistensi kreatif, transparansi pasar, dan kolaborasi lintas-sektor.</w:t>
      </w:r>
    </w:p>
    <w:p w14:paraId="2914AFC8"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Berdasarkan temuan ini, beberapa rekomendasi strategis diajukan. Pertama, pada tingkat kebijakan dan regulasi, pemerintah dan lembaga sertifikasi perlu memperkuat transparansi rantai pasok, audit substantif yang tidak hanya teknis tetapi juga etis, serta mekanisme perlindungan bagi UMKM agar tidak terpinggirkan oleh biaya sertifikasi yang tinggi. Sertifikasi halal harus kembali ke fungsi utamanya: jaminan kepatuhan dan keadilan, bukan alat diferensiasi eksklusif. Kedua, pada tingkat institusi keagamaan, pendekatan otoritas instruktif perlu bergeser menuju model fasilitatif yang mengedukasi konsumen tentang literasi kritis, mendampingi produsen dalam praktik etis, dan mengembangkan panduan kurasi konten yang berlandaskan kedalaman makna, bukan viralitas. Ketiga, pada tingkat masyarakat dan konsumen, penguatan literasi digital dan etika konsumsi religius menjadi imperatif. Konsumen perlu diajak kritis terhadap klaim “halal”, memahami mekanisme validasi algoritmik, dan mengembangkan praktik mindful consumption yang mengaitkan pilihan belanja dengan nilai keadilan, keberlanjutan, dan kedalaman spiritual. Keempat, penelitian lanjutan perlu mengadopsi desain longitudinal, partisipatif, dan lintas-budaya untuk melacak dampak jangka panjang komodifikasi gaya hidup halal terhadap kesejahteraan psikospiritual, kohesi komunitas, dan transformasi makna keagamaan, dengan melibatkan anak muda dan pelaku UMKM sebagai ko-peneliti, bukan hanya objek.</w:t>
      </w:r>
    </w:p>
    <w:p w14:paraId="19A84DE5" w14:textId="77777777" w:rsidR="0073079D" w:rsidRPr="0073079D" w:rsidRDefault="00ED62F7" w:rsidP="0073079D">
      <w:pPr>
        <w:spacing w:line="276" w:lineRule="auto"/>
        <w:ind w:firstLine="567"/>
        <w:jc w:val="both"/>
        <w:rPr>
          <w:rFonts w:ascii="Garamond" w:hAnsi="Garamond"/>
          <w:sz w:val="24"/>
          <w:szCs w:val="24"/>
        </w:rPr>
      </w:pPr>
      <w:r w:rsidRPr="0073079D">
        <w:rPr>
          <w:rFonts w:ascii="Garamond" w:hAnsi="Garamond"/>
          <w:sz w:val="24"/>
          <w:szCs w:val="24"/>
        </w:rPr>
        <w:t>Masa depan agama dalam ruang publik tidak akan ditentukan oleh penolakan terhadap pasar atau penerimaan buta terhadap komodifikasi, melainkan oleh kemampuan masyarakat untuk merancang ekosistem di mana keberagamaan, keadilan sosial, dan inovasi ekonomi dapat bersinergi secara etis. Gaya hidup halal tidak harus menjadi proyek distinksi atau alat komodifikasi semata; ia dapat menjadi ruang di mana makna sakral, tanggung jawab sosial, dan identitas kolektif dihidupkan kembali secara transformatif. Dengan pendekatan yang kritis, responsif, dan berpusat pada martabat manusia, ruang publik dapat kembali menjadi arena di mana agama tidak hanya dikonsumsi, tetapi dihayati secara autentik, inklusif, dan memberdayakan.</w:t>
      </w:r>
    </w:p>
    <w:p w14:paraId="68C1138B" w14:textId="77777777" w:rsidR="0073079D" w:rsidRDefault="0073079D" w:rsidP="0073079D">
      <w:pPr>
        <w:spacing w:line="276" w:lineRule="auto"/>
        <w:jc w:val="both"/>
        <w:rPr>
          <w:rFonts w:ascii="Garamond" w:hAnsi="Garamond"/>
          <w:sz w:val="24"/>
          <w:szCs w:val="24"/>
        </w:rPr>
      </w:pPr>
    </w:p>
    <w:p w14:paraId="5217B507" w14:textId="77777777" w:rsidR="0073079D" w:rsidRPr="0073079D" w:rsidRDefault="00ED62F7" w:rsidP="0073079D">
      <w:pPr>
        <w:spacing w:line="276" w:lineRule="auto"/>
        <w:jc w:val="both"/>
        <w:rPr>
          <w:rFonts w:ascii="Garamond" w:hAnsi="Garamond"/>
          <w:b/>
          <w:bCs/>
          <w:sz w:val="24"/>
          <w:szCs w:val="24"/>
        </w:rPr>
      </w:pPr>
      <w:r w:rsidRPr="0073079D">
        <w:rPr>
          <w:rFonts w:ascii="Garamond" w:hAnsi="Garamond"/>
          <w:b/>
          <w:bCs/>
          <w:sz w:val="24"/>
          <w:szCs w:val="24"/>
        </w:rPr>
        <w:lastRenderedPageBreak/>
        <w:t>Daftar Pustaka</w:t>
      </w:r>
    </w:p>
    <w:p w14:paraId="7288BF35"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Bourdieu, P. (1984). Distinction: A social critique of the judgement of taste. Harvard University Press.</w:t>
      </w:r>
    </w:p>
    <w:p w14:paraId="031C4327"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Casanova, J. (1994). Public religion in the modern world. University of Chicago Press.</w:t>
      </w:r>
    </w:p>
    <w:p w14:paraId="6E48DC0C"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DinarStandard. (2024). State of the global Islamic economy report 2024: Resilience, innovation, and ethical consumption. DinarStandard LLC. https://islamicdinarstandard.com/report/</w:t>
      </w:r>
    </w:p>
    <w:p w14:paraId="7C2EB0FE"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Featherstone, M. (1991). Consumer culture and postmodernism. Sage Publications.</w:t>
      </w:r>
    </w:p>
    <w:p w14:paraId="26490220"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Goffman, E. (1959). The presentation of self in everyday life. Anchor Books.</w:t>
      </w:r>
    </w:p>
    <w:p w14:paraId="59E35738"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Habermas, J. (1962). The structural transformation of the public sphere: An inquiry into a category of bourgeois society. MIT Press.</w:t>
      </w:r>
    </w:p>
    <w:p w14:paraId="0195F822"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Hirschkind, C. (2009). The ethical soundscape: Cassette sermons and Islamic counterpublics. Columbia University Press.</w:t>
      </w:r>
    </w:p>
    <w:p w14:paraId="715CDC55"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Hjarvard, S. (2023). The mediatization of religion: Digital transformation and the reconfiguration of sacred practices. Sociology of Religion, 84(1), 1–22. https://doi.org/10.1093/socrel/srac045</w:t>
      </w:r>
    </w:p>
    <w:p w14:paraId="127D9AA0"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Meyer, M. (2021). Religious capitalism and the marketization of spirituality. Journal of Contemporary Religion, 36(4), 589–607. https://doi.org/10.1080/13537903.2021.1956782</w:t>
      </w:r>
    </w:p>
    <w:p w14:paraId="77A1A0CC"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Ritzer, G. (2021). The McDonaldization of society 2.0: Digital platforms, algorithmic control, and the standardization of experience. Sage Publications.</w:t>
      </w:r>
    </w:p>
    <w:p w14:paraId="0EA2A68D"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Stolz, J. (2022). Halal branding and the sociological boundaries of religious authenticity. Sociology of Islam, 10(2), 145–168. https://doi.org/10.1163/22131418-bja10045</w:t>
      </w:r>
    </w:p>
    <w:p w14:paraId="10DC2D31"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Turner, B. S. (2020). Religion in modern society: From institution to lifestyle. Routledge.</w:t>
      </w:r>
    </w:p>
    <w:p w14:paraId="69BE6C97"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van Doorn, N. (2022). Algorithmic piety: Platform capitalism and the curation of halal consumption. New Media &amp; Society, 24(9), 2103–2121. https://doi.org/10.1177/14614448211078911</w:t>
      </w:r>
    </w:p>
    <w:p w14:paraId="4958DB1C"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World Bank. (2023). Halal economy and inclusive development: Opportunities for emerging markets. World Bank Group. https://www.worldbank.org/en/topic/religion</w:t>
      </w:r>
    </w:p>
    <w:p w14:paraId="70DA9D7B"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lastRenderedPageBreak/>
        <w:t>Otoritas Jasa Keuangan (OJK). (2024). Laporan perkembangan ekonomi dan keuangan syariah 2023/2024. OJK Republik Indonesia. https://www.ojk.go.id</w:t>
      </w:r>
    </w:p>
    <w:p w14:paraId="0DD86F7F"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Majelis Ulama Indonesia (MUI). (2023). Pedoman sertifikasi halal dan akuntabilitas lembaga dalam era digital. MUI Press.</w:t>
      </w:r>
    </w:p>
    <w:p w14:paraId="433A1FB2"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Journal of Islamic Marketing. (2024). Consumer trust and halal certification transparency in Southeast Asian markets, 15(3), 412–430. https://doi.org/10.1108/JIMA-01-2023-0045</w:t>
      </w:r>
    </w:p>
    <w:p w14:paraId="27DED139"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Sociology of Religion. (2023). Class distinction and religious consumption: The rise of premium halal lifestyles, 84(4), 389–407. https://doi.org/10.1093/socrel/srad012</w:t>
      </w:r>
    </w:p>
    <w:p w14:paraId="2A0D3E37"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New Media &amp; Society. (2025). Digital halal communities and the performative construction of Muslim identity, 27(2), 567–585. https://doi.org/10.1177/14614448241298765</w:t>
      </w:r>
    </w:p>
    <w:p w14:paraId="59189AE5"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Jurnal Sosiologi Indonesia. (2024). Gaya hidup halal dan distinksi kelas menengah muslim perkotaan, 12(1), 89–112. https://doi.org/10.21009/jsi.v12i1.1567</w:t>
      </w:r>
    </w:p>
    <w:p w14:paraId="1FFB3802" w14:textId="77777777" w:rsidR="0073079D"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Al-Jami'ah: Journal of Islamic Studies. (2023). Komodifikasi agama dan transformasi ruang publik di Indonesia, 61(2), 245–268. https://doi.org/10.14421/ajis.2023.612</w:t>
      </w:r>
    </w:p>
    <w:p w14:paraId="03A05F06" w14:textId="77777777" w:rsidR="00AF2F81" w:rsidRPr="0073079D" w:rsidRDefault="00ED62F7" w:rsidP="0073079D">
      <w:pPr>
        <w:spacing w:line="276" w:lineRule="auto"/>
        <w:ind w:left="567" w:hanging="567"/>
        <w:jc w:val="both"/>
        <w:rPr>
          <w:rFonts w:ascii="Garamond" w:hAnsi="Garamond"/>
          <w:sz w:val="24"/>
          <w:szCs w:val="24"/>
        </w:rPr>
      </w:pPr>
      <w:r w:rsidRPr="0073079D">
        <w:rPr>
          <w:rFonts w:ascii="Garamond" w:hAnsi="Garamond"/>
          <w:sz w:val="24"/>
          <w:szCs w:val="24"/>
        </w:rPr>
        <w:t>Qudus International Journal of Islamic Studies. (2024). Etika konsumsi halal antara logika pasar dan autentisitas spiritual, 12(1), 113–136. https://doi.org/10.21043/qijis.v12i1.9876</w:t>
      </w:r>
    </w:p>
    <w:sectPr w:rsidR="00AF2F81" w:rsidRPr="0073079D" w:rsidSect="00740604">
      <w:headerReference w:type="default" r:id="rId8"/>
      <w:footerReference w:type="default" r:id="rId9"/>
      <w:pgSz w:w="11907" w:h="16839" w:code="9"/>
      <w:pgMar w:top="2268" w:right="1701" w:bottom="1701" w:left="2268" w:header="720" w:footer="720" w:gutter="0"/>
      <w:pgNumType w:start="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6C665" w14:textId="77777777" w:rsidR="00831E52" w:rsidRDefault="00831E52" w:rsidP="003E2691">
      <w:pPr>
        <w:spacing w:after="0" w:line="240" w:lineRule="auto"/>
      </w:pPr>
      <w:r>
        <w:separator/>
      </w:r>
    </w:p>
  </w:endnote>
  <w:endnote w:type="continuationSeparator" w:id="0">
    <w:p w14:paraId="176BD4B1" w14:textId="77777777" w:rsidR="00831E52" w:rsidRDefault="00831E52" w:rsidP="003E2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460191"/>
      <w:docPartObj>
        <w:docPartGallery w:val="Page Numbers (Bottom of Page)"/>
        <w:docPartUnique/>
      </w:docPartObj>
    </w:sdtPr>
    <w:sdtEndPr>
      <w:rPr>
        <w:noProof/>
      </w:rPr>
    </w:sdtEndPr>
    <w:sdtContent>
      <w:p w14:paraId="1756F00B" w14:textId="2605ECB7" w:rsidR="00740604" w:rsidRDefault="00740604">
        <w:pPr>
          <w:pStyle w:val="Footer"/>
          <w:jc w:val="center"/>
        </w:pPr>
        <w:r>
          <w:fldChar w:fldCharType="begin"/>
        </w:r>
        <w:r>
          <w:instrText xml:space="preserve"> PAGE   \* MERGEFORMAT </w:instrText>
        </w:r>
        <w:r>
          <w:fldChar w:fldCharType="separate"/>
        </w:r>
        <w:r w:rsidR="0069371A">
          <w:rPr>
            <w:noProof/>
          </w:rPr>
          <w:t>54</w:t>
        </w:r>
        <w:r>
          <w:rPr>
            <w:noProof/>
          </w:rPr>
          <w:fldChar w:fldCharType="end"/>
        </w:r>
      </w:p>
    </w:sdtContent>
  </w:sdt>
  <w:p w14:paraId="0C3DCFA1" w14:textId="77777777" w:rsidR="003E2691" w:rsidRDefault="003E26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1311C" w14:textId="77777777" w:rsidR="00831E52" w:rsidRDefault="00831E52" w:rsidP="003E2691">
      <w:pPr>
        <w:spacing w:after="0" w:line="240" w:lineRule="auto"/>
      </w:pPr>
      <w:r>
        <w:separator/>
      </w:r>
    </w:p>
  </w:footnote>
  <w:footnote w:type="continuationSeparator" w:id="0">
    <w:p w14:paraId="759338F7" w14:textId="77777777" w:rsidR="00831E52" w:rsidRDefault="00831E52" w:rsidP="003E26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A9A07" w14:textId="77777777" w:rsidR="003E2691" w:rsidRDefault="003E2691">
    <w:pPr>
      <w:pStyle w:val="Header"/>
      <w:rPr>
        <w:rFonts w:ascii="Segoe UI" w:hAnsi="Segoe UI" w:cs="Segoe UI"/>
        <w:sz w:val="21"/>
        <w:szCs w:val="21"/>
        <w:shd w:val="clear" w:color="auto" w:fill="FFFFFF"/>
      </w:rPr>
    </w:pPr>
    <w:r>
      <w:rPr>
        <w:rStyle w:val="Strong"/>
        <w:rFonts w:ascii="Segoe UI" w:hAnsi="Segoe UI" w:cs="Segoe UI"/>
        <w:sz w:val="21"/>
        <w:szCs w:val="21"/>
        <w:shd w:val="clear" w:color="auto" w:fill="FFFFFF"/>
      </w:rPr>
      <w:t>MADANI: Journal of Religion and Social Science</w:t>
    </w:r>
    <w:r>
      <w:rPr>
        <w:rFonts w:ascii="Segoe UI" w:hAnsi="Segoe UI" w:cs="Segoe UI"/>
        <w:sz w:val="21"/>
        <w:szCs w:val="21"/>
        <w:shd w:val="clear" w:color="auto" w:fill="FFFFFF"/>
      </w:rPr>
      <w:t> </w:t>
    </w:r>
  </w:p>
  <w:p w14:paraId="6163DEE6" w14:textId="77777777" w:rsidR="003E2691" w:rsidRPr="00FC21A5" w:rsidRDefault="003E2691" w:rsidP="003E2691">
    <w:pPr>
      <w:pStyle w:val="Header"/>
      <w:rPr>
        <w:rStyle w:val="Strong"/>
        <w:rFonts w:ascii="Segoe UI" w:hAnsi="Segoe UI" w:cs="Segoe UI"/>
        <w:b w:val="0"/>
        <w:bCs w:val="0"/>
        <w:sz w:val="21"/>
        <w:szCs w:val="21"/>
        <w:shd w:val="clear" w:color="auto" w:fill="FFFFFF"/>
      </w:rPr>
    </w:pPr>
    <w:r w:rsidRPr="00FC21A5">
      <w:rPr>
        <w:rStyle w:val="Strong"/>
        <w:rFonts w:ascii="Segoe UI" w:hAnsi="Segoe UI" w:cs="Segoe UI"/>
        <w:b w:val="0"/>
        <w:bCs w:val="0"/>
        <w:sz w:val="21"/>
        <w:szCs w:val="21"/>
        <w:shd w:val="clear" w:color="auto" w:fill="FFFFFF"/>
      </w:rPr>
      <w:t>E-ISSN: XXXX-XXXX</w:t>
    </w:r>
  </w:p>
  <w:p w14:paraId="4F6B0E05" w14:textId="77777777" w:rsidR="003E2691" w:rsidRPr="00FC21A5" w:rsidRDefault="003E2691" w:rsidP="003E2691">
    <w:pPr>
      <w:pStyle w:val="Header"/>
      <w:rPr>
        <w:rStyle w:val="Strong"/>
        <w:rFonts w:ascii="Segoe UI" w:hAnsi="Segoe UI" w:cs="Segoe UI"/>
        <w:b w:val="0"/>
        <w:bCs w:val="0"/>
        <w:sz w:val="21"/>
        <w:szCs w:val="21"/>
        <w:shd w:val="clear" w:color="auto" w:fill="FFFFFF"/>
      </w:rPr>
    </w:pPr>
    <w:r w:rsidRPr="00FC21A5">
      <w:rPr>
        <w:rStyle w:val="Strong"/>
        <w:rFonts w:ascii="Segoe UI" w:hAnsi="Segoe UI" w:cs="Segoe UI"/>
        <w:b w:val="0"/>
        <w:bCs w:val="0"/>
        <w:sz w:val="21"/>
        <w:szCs w:val="21"/>
        <w:shd w:val="clear" w:color="auto" w:fill="FFFFFF"/>
      </w:rPr>
      <w:t>Vol.1 No.1 Tahun 2026</w:t>
    </w:r>
  </w:p>
  <w:p w14:paraId="67507697" w14:textId="14E26CC7" w:rsidR="00740604" w:rsidRPr="00740604" w:rsidRDefault="003E2691" w:rsidP="00740604">
    <w:pPr>
      <w:pStyle w:val="Header"/>
      <w:rPr>
        <w:rFonts w:ascii="Segoe UI" w:hAnsi="Segoe UI" w:cs="Segoe UI"/>
        <w:sz w:val="21"/>
        <w:szCs w:val="21"/>
        <w:shd w:val="clear" w:color="auto" w:fill="FFFFFF"/>
      </w:rPr>
    </w:pPr>
    <w:r>
      <w:rPr>
        <w:rStyle w:val="Strong"/>
        <w:rFonts w:ascii="Segoe UI" w:hAnsi="Segoe UI" w:cs="Segoe UI"/>
        <w:b w:val="0"/>
        <w:bCs w:val="0"/>
        <w:sz w:val="21"/>
        <w:szCs w:val="21"/>
        <w:shd w:val="clear" w:color="auto" w:fill="FFFFFF"/>
      </w:rPr>
      <w:t xml:space="preserve">Halaman </w:t>
    </w:r>
    <w:r w:rsidR="00740604">
      <w:rPr>
        <w:rStyle w:val="Strong"/>
        <w:rFonts w:ascii="Segoe UI" w:hAnsi="Segoe UI" w:cs="Segoe UI"/>
        <w:b w:val="0"/>
        <w:bCs w:val="0"/>
        <w:sz w:val="21"/>
        <w:szCs w:val="21"/>
        <w:shd w:val="clear" w:color="auto" w:fill="FFFFFF"/>
      </w:rPr>
      <w:t>4</w:t>
    </w:r>
    <w:r>
      <w:rPr>
        <w:rStyle w:val="Strong"/>
        <w:rFonts w:ascii="Segoe UI" w:hAnsi="Segoe UI" w:cs="Segoe UI"/>
        <w:b w:val="0"/>
        <w:bCs w:val="0"/>
        <w:sz w:val="21"/>
        <w:szCs w:val="21"/>
        <w:shd w:val="clear" w:color="auto" w:fill="FFFFFF"/>
      </w:rPr>
      <w:t>1-</w:t>
    </w:r>
    <w:r w:rsidR="00740604">
      <w:rPr>
        <w:rStyle w:val="Strong"/>
        <w:rFonts w:ascii="Segoe UI" w:hAnsi="Segoe UI" w:cs="Segoe UI"/>
        <w:b w:val="0"/>
        <w:bCs w:val="0"/>
        <w:sz w:val="21"/>
        <w:szCs w:val="21"/>
        <w:shd w:val="clear" w:color="auto" w:fill="FFFFFF"/>
      </w:rPr>
      <w:t>5</w:t>
    </w:r>
    <w:r>
      <w:rPr>
        <w:rStyle w:val="Strong"/>
        <w:rFonts w:ascii="Segoe UI" w:hAnsi="Segoe UI" w:cs="Segoe UI"/>
        <w:b w:val="0"/>
        <w:bCs w:val="0"/>
        <w:sz w:val="21"/>
        <w:szCs w:val="21"/>
        <w:shd w:val="clear" w:color="auto" w:fill="FFFFFF"/>
      </w:rPr>
      <w:t>4</w:t>
    </w:r>
  </w:p>
  <w:p w14:paraId="4DE24728" w14:textId="77777777" w:rsidR="003E2691" w:rsidRDefault="003E26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2F7"/>
    <w:rsid w:val="003E2691"/>
    <w:rsid w:val="00416330"/>
    <w:rsid w:val="0069371A"/>
    <w:rsid w:val="0073079D"/>
    <w:rsid w:val="00740604"/>
    <w:rsid w:val="00831E52"/>
    <w:rsid w:val="009D25E0"/>
    <w:rsid w:val="00A03A87"/>
    <w:rsid w:val="00AF2F81"/>
    <w:rsid w:val="00D3177D"/>
    <w:rsid w:val="00ED62F7"/>
    <w:rsid w:val="00F44D3A"/>
    <w:rsid w:val="00F706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E9B21"/>
  <w15:chartTrackingRefBased/>
  <w15:docId w15:val="{66AB16A3-37AF-4C52-8DBF-64E39299B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6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2691"/>
  </w:style>
  <w:style w:type="paragraph" w:styleId="Footer">
    <w:name w:val="footer"/>
    <w:basedOn w:val="Normal"/>
    <w:link w:val="FooterChar"/>
    <w:uiPriority w:val="99"/>
    <w:unhideWhenUsed/>
    <w:rsid w:val="003E26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2691"/>
  </w:style>
  <w:style w:type="character" w:styleId="Strong">
    <w:name w:val="Strong"/>
    <w:basedOn w:val="DefaultParagraphFont"/>
    <w:uiPriority w:val="22"/>
    <w:qFormat/>
    <w:rsid w:val="003E2691"/>
    <w:rPr>
      <w:b/>
      <w:bCs/>
    </w:rPr>
  </w:style>
  <w:style w:type="character" w:styleId="Hyperlink">
    <w:name w:val="Hyperlink"/>
    <w:basedOn w:val="DefaultParagraphFont"/>
    <w:uiPriority w:val="99"/>
    <w:unhideWhenUsed/>
    <w:rsid w:val="007406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Runengsih411@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22@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5755</Words>
  <Characters>32804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Muaz</dc:creator>
  <cp:keywords/>
  <dc:description/>
  <cp:lastModifiedBy>Edy</cp:lastModifiedBy>
  <cp:revision>3</cp:revision>
  <dcterms:created xsi:type="dcterms:W3CDTF">2026-05-11T17:16:00Z</dcterms:created>
  <dcterms:modified xsi:type="dcterms:W3CDTF">2026-05-12T14:08:00Z</dcterms:modified>
</cp:coreProperties>
</file>